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59A04" w14:textId="22A4CB4B" w:rsidR="00E62AD8" w:rsidRPr="00E62AD8" w:rsidRDefault="005C04E9" w:rsidP="00ED302A">
      <w:pPr>
        <w:widowControl/>
        <w:shd w:val="clear" w:color="auto" w:fill="FFFFE0"/>
        <w:tabs>
          <w:tab w:val="left" w:pos="6210"/>
        </w:tabs>
        <w:ind w:firstLineChars="100" w:firstLine="220"/>
        <w:jc w:val="left"/>
        <w:textAlignment w:val="baseline"/>
        <w:rPr>
          <w:rFonts w:ascii="HGPｺﾞｼｯｸM" w:eastAsia="HGPｺﾞｼｯｸM" w:hAnsi="メイリオ" w:cs="メイリオ"/>
          <w:b/>
          <w:bCs/>
          <w:kern w:val="0"/>
          <w:sz w:val="22"/>
        </w:rPr>
      </w:pPr>
      <w:r>
        <w:rPr>
          <w:rFonts w:ascii="HGPｺﾞｼｯｸM" w:eastAsia="HGPｺﾞｼｯｸM" w:hAnsi="メイリオ" w:cs="メイリオ" w:hint="eastAsia"/>
          <w:b/>
          <w:bCs/>
          <w:kern w:val="0"/>
          <w:sz w:val="22"/>
        </w:rPr>
        <w:t>異議申立により後遺障害等級１４級の認定を受けて，訴訟により</w:t>
      </w:r>
      <w:r w:rsidR="0074018B">
        <w:rPr>
          <w:rFonts w:ascii="HGPｺﾞｼｯｸM" w:eastAsia="HGPｺﾞｼｯｸM" w:hAnsi="メイリオ" w:cs="メイリオ" w:hint="eastAsia"/>
          <w:b/>
          <w:bCs/>
          <w:kern w:val="0"/>
          <w:sz w:val="22"/>
        </w:rPr>
        <w:t>解決した事例</w:t>
      </w:r>
    </w:p>
    <w:p w14:paraId="18A27721" w14:textId="59C55527" w:rsidR="00E62AD8" w:rsidRDefault="002A6E62" w:rsidP="00E62AD8">
      <w:pPr>
        <w:widowControl/>
        <w:shd w:val="clear" w:color="auto" w:fill="FFFFE0"/>
        <w:jc w:val="left"/>
        <w:textAlignment w:val="baseline"/>
        <w:rPr>
          <w:rFonts w:ascii="HGPｺﾞｼｯｸM" w:eastAsia="HGPｺﾞｼｯｸM" w:hAnsi="メイリオ" w:cs="メイリオ"/>
          <w:kern w:val="0"/>
          <w:sz w:val="22"/>
        </w:rPr>
      </w:pPr>
      <w:r>
        <w:rPr>
          <w:rFonts w:ascii="HGPｺﾞｼｯｸM" w:eastAsia="HGPｺﾞｼｯｸM" w:hAnsi="メイリオ" w:cs="メイリオ" w:hint="eastAsia"/>
          <w:b/>
          <w:bCs/>
          <w:kern w:val="0"/>
          <w:sz w:val="22"/>
        </w:rPr>
        <w:t>【</w:t>
      </w:r>
      <w:r w:rsidR="00E62AD8" w:rsidRPr="00E62AD8">
        <w:rPr>
          <w:rFonts w:ascii="HGPｺﾞｼｯｸM" w:eastAsia="HGPｺﾞｼｯｸM" w:hAnsi="メイリオ" w:cs="メイリオ" w:hint="eastAsia"/>
          <w:b/>
          <w:bCs/>
          <w:kern w:val="0"/>
          <w:sz w:val="22"/>
        </w:rPr>
        <w:t>相談者】</w:t>
      </w:r>
      <w:r w:rsidR="00926D34">
        <w:rPr>
          <w:rFonts w:ascii="HGPｺﾞｼｯｸM" w:eastAsia="HGPｺﾞｼｯｸM" w:hAnsi="メイリオ" w:cs="メイリオ" w:hint="eastAsia"/>
          <w:kern w:val="0"/>
          <w:sz w:val="22"/>
        </w:rPr>
        <w:t xml:space="preserve">　</w:t>
      </w:r>
      <w:r w:rsidR="0074018B">
        <w:rPr>
          <w:rFonts w:ascii="HGPｺﾞｼｯｸM" w:eastAsia="HGPｺﾞｼｯｸM" w:hAnsi="メイリオ" w:cs="メイリオ" w:hint="eastAsia"/>
          <w:kern w:val="0"/>
          <w:sz w:val="22"/>
        </w:rPr>
        <w:t>女性</w:t>
      </w:r>
      <w:r w:rsidR="00D80B14">
        <w:rPr>
          <w:rFonts w:ascii="HGPｺﾞｼｯｸM" w:eastAsia="HGPｺﾞｼｯｸM" w:hAnsi="メイリオ" w:cs="メイリオ" w:hint="eastAsia"/>
          <w:kern w:val="0"/>
          <w:sz w:val="22"/>
        </w:rPr>
        <w:t>（</w:t>
      </w:r>
      <w:r w:rsidR="005C04E9">
        <w:rPr>
          <w:rFonts w:ascii="HGPｺﾞｼｯｸM" w:eastAsia="HGPｺﾞｼｯｸM" w:hAnsi="メイリオ" w:cs="メイリオ" w:hint="eastAsia"/>
          <w:kern w:val="0"/>
          <w:sz w:val="22"/>
        </w:rPr>
        <w:t>40</w:t>
      </w:r>
      <w:r w:rsidR="00E62AD8" w:rsidRPr="00E62AD8">
        <w:rPr>
          <w:rFonts w:ascii="HGPｺﾞｼｯｸM" w:eastAsia="HGPｺﾞｼｯｸM" w:hAnsi="メイリオ" w:cs="メイリオ" w:hint="eastAsia"/>
          <w:kern w:val="0"/>
          <w:sz w:val="22"/>
        </w:rPr>
        <w:t xml:space="preserve">代) ／ </w:t>
      </w:r>
      <w:r w:rsidR="001613E9">
        <w:rPr>
          <w:rFonts w:ascii="HGPｺﾞｼｯｸM" w:eastAsia="HGPｺﾞｼｯｸM" w:hAnsi="メイリオ" w:cs="メイリオ" w:hint="eastAsia"/>
          <w:kern w:val="0"/>
          <w:sz w:val="22"/>
        </w:rPr>
        <w:t>熊本</w:t>
      </w:r>
      <w:r w:rsidR="00DA58D9">
        <w:rPr>
          <w:rFonts w:ascii="HGPｺﾞｼｯｸM" w:eastAsia="HGPｺﾞｼｯｸM" w:hAnsi="メイリオ" w:cs="メイリオ" w:hint="eastAsia"/>
          <w:kern w:val="0"/>
          <w:sz w:val="22"/>
        </w:rPr>
        <w:t>県</w:t>
      </w:r>
      <w:r w:rsidR="00E62AD8" w:rsidRPr="00E62AD8">
        <w:rPr>
          <w:rFonts w:ascii="HGPｺﾞｼｯｸM" w:eastAsia="HGPｺﾞｼｯｸM" w:hAnsi="メイリオ" w:cs="メイリオ" w:hint="eastAsia"/>
          <w:kern w:val="0"/>
          <w:sz w:val="22"/>
        </w:rPr>
        <w:t>在住 ／ 職業：</w:t>
      </w:r>
      <w:r w:rsidR="005C04E9">
        <w:rPr>
          <w:rFonts w:ascii="HGPｺﾞｼｯｸM" w:eastAsia="HGPｺﾞｼｯｸM" w:hAnsi="メイリオ" w:cs="メイリオ" w:hint="eastAsia"/>
          <w:kern w:val="0"/>
          <w:sz w:val="22"/>
        </w:rPr>
        <w:t>会社員</w:t>
      </w:r>
    </w:p>
    <w:p w14:paraId="4EC9A7A3" w14:textId="249F6E85" w:rsidR="002A6E62" w:rsidRPr="00E62AD8" w:rsidRDefault="002A6E62" w:rsidP="00E62AD8">
      <w:pPr>
        <w:widowControl/>
        <w:shd w:val="clear" w:color="auto" w:fill="FFFFE0"/>
        <w:jc w:val="left"/>
        <w:textAlignment w:val="baseline"/>
        <w:rPr>
          <w:rFonts w:ascii="HGPｺﾞｼｯｸM" w:eastAsia="HGPｺﾞｼｯｸM" w:hAnsi="メイリオ" w:cs="メイリオ"/>
          <w:kern w:val="0"/>
          <w:sz w:val="22"/>
        </w:rPr>
      </w:pPr>
      <w:r>
        <w:rPr>
          <w:rFonts w:ascii="HGPｺﾞｼｯｸM" w:eastAsia="HGPｺﾞｼｯｸM" w:hAnsi="メイリオ" w:cs="メイリオ" w:hint="eastAsia"/>
          <w:kern w:val="0"/>
          <w:sz w:val="22"/>
        </w:rPr>
        <w:t>【</w:t>
      </w:r>
      <w:r w:rsidRPr="002A6E62">
        <w:rPr>
          <w:rFonts w:ascii="HGPｺﾞｼｯｸM" w:eastAsia="HGPｺﾞｼｯｸM" w:hAnsi="メイリオ" w:cs="メイリオ" w:hint="eastAsia"/>
          <w:b/>
          <w:bCs/>
          <w:kern w:val="0"/>
          <w:sz w:val="22"/>
        </w:rPr>
        <w:t>受任時期</w:t>
      </w:r>
      <w:r>
        <w:rPr>
          <w:rFonts w:ascii="HGPｺﾞｼｯｸM" w:eastAsia="HGPｺﾞｼｯｸM" w:hAnsi="メイリオ" w:cs="メイリオ" w:hint="eastAsia"/>
          <w:kern w:val="0"/>
          <w:sz w:val="22"/>
        </w:rPr>
        <w:t xml:space="preserve">】　</w:t>
      </w:r>
      <w:r w:rsidR="005C04E9">
        <w:rPr>
          <w:rFonts w:ascii="HGPｺﾞｼｯｸM" w:eastAsia="HGPｺﾞｼｯｸM" w:hAnsi="メイリオ" w:cs="メイリオ" w:hint="eastAsia"/>
          <w:kern w:val="0"/>
          <w:sz w:val="22"/>
        </w:rPr>
        <w:t>治療終了・症状固定後</w:t>
      </w:r>
    </w:p>
    <w:p w14:paraId="2BC0E137" w14:textId="401989D0" w:rsidR="00E62AD8" w:rsidRPr="00E62AD8" w:rsidRDefault="00E62AD8" w:rsidP="00E62AD8">
      <w:pPr>
        <w:widowControl/>
        <w:shd w:val="clear" w:color="auto" w:fill="FFFFE0"/>
        <w:jc w:val="left"/>
        <w:textAlignment w:val="baseline"/>
        <w:rPr>
          <w:rFonts w:ascii="HGPｺﾞｼｯｸM" w:eastAsia="HGPｺﾞｼｯｸM" w:hAnsi="メイリオ" w:cs="メイリオ"/>
          <w:kern w:val="0"/>
          <w:sz w:val="22"/>
        </w:rPr>
      </w:pPr>
      <w:r w:rsidRPr="00E62AD8">
        <w:rPr>
          <w:rFonts w:ascii="HGPｺﾞｼｯｸM" w:eastAsia="HGPｺﾞｼｯｸM" w:hAnsi="メイリオ" w:cs="メイリオ" w:hint="eastAsia"/>
          <w:b/>
          <w:bCs/>
          <w:kern w:val="0"/>
          <w:sz w:val="22"/>
        </w:rPr>
        <w:t>【傷病名】</w:t>
      </w:r>
      <w:r w:rsidR="00DA58D9">
        <w:rPr>
          <w:rFonts w:ascii="HGPｺﾞｼｯｸM" w:eastAsia="HGPｺﾞｼｯｸM" w:hAnsi="メイリオ" w:cs="メイリオ" w:hint="eastAsia"/>
          <w:kern w:val="0"/>
          <w:sz w:val="22"/>
        </w:rPr>
        <w:t xml:space="preserve">　</w:t>
      </w:r>
      <w:r w:rsidR="005C04E9">
        <w:rPr>
          <w:rFonts w:ascii="HGPｺﾞｼｯｸM" w:eastAsia="HGPｺﾞｼｯｸM" w:hAnsi="メイリオ" w:cs="メイリオ" w:hint="eastAsia"/>
          <w:kern w:val="0"/>
          <w:sz w:val="22"/>
        </w:rPr>
        <w:t>外傷性頸部症候群，バレーリュー症候群，腰椎捻挫</w:t>
      </w:r>
    </w:p>
    <w:p w14:paraId="218CC59C" w14:textId="2F392423" w:rsidR="00E62AD8" w:rsidRPr="00E62AD8" w:rsidRDefault="00E62AD8" w:rsidP="00E62AD8">
      <w:pPr>
        <w:widowControl/>
        <w:shd w:val="clear" w:color="auto" w:fill="FFFFE0"/>
        <w:jc w:val="left"/>
        <w:textAlignment w:val="baseline"/>
        <w:rPr>
          <w:rFonts w:ascii="HGPｺﾞｼｯｸM" w:eastAsia="HGPｺﾞｼｯｸM" w:hAnsi="メイリオ" w:cs="メイリオ"/>
          <w:kern w:val="0"/>
          <w:sz w:val="22"/>
        </w:rPr>
      </w:pPr>
      <w:r w:rsidRPr="00E62AD8">
        <w:rPr>
          <w:rFonts w:ascii="HGPｺﾞｼｯｸM" w:eastAsia="HGPｺﾞｼｯｸM" w:hAnsi="メイリオ" w:cs="メイリオ" w:hint="eastAsia"/>
          <w:b/>
          <w:bCs/>
          <w:kern w:val="0"/>
          <w:sz w:val="22"/>
        </w:rPr>
        <w:t>【後遺障害等級】</w:t>
      </w:r>
      <w:r w:rsidR="00DA58D9">
        <w:rPr>
          <w:rFonts w:ascii="HGPｺﾞｼｯｸM" w:eastAsia="HGPｺﾞｼｯｸM" w:hAnsi="メイリオ" w:cs="メイリオ" w:hint="eastAsia"/>
          <w:kern w:val="0"/>
          <w:sz w:val="22"/>
        </w:rPr>
        <w:t xml:space="preserve">　</w:t>
      </w:r>
      <w:r w:rsidR="005C04E9">
        <w:rPr>
          <w:rFonts w:ascii="HGPｺﾞｼｯｸM" w:eastAsia="HGPｺﾞｼｯｸM" w:hAnsi="メイリオ" w:cs="メイリオ" w:hint="eastAsia"/>
          <w:kern w:val="0"/>
          <w:sz w:val="22"/>
        </w:rPr>
        <w:t>異議申立により１４級</w:t>
      </w:r>
    </w:p>
    <w:p w14:paraId="3085C837" w14:textId="2F874673" w:rsidR="00E62AD8" w:rsidRPr="00E62AD8" w:rsidRDefault="00E62AD8" w:rsidP="00E62AD8">
      <w:pPr>
        <w:widowControl/>
        <w:shd w:val="clear" w:color="auto" w:fill="FFFFE0"/>
        <w:jc w:val="left"/>
        <w:textAlignment w:val="baseline"/>
        <w:rPr>
          <w:rFonts w:ascii="HGPｺﾞｼｯｸM" w:eastAsia="HGPｺﾞｼｯｸM" w:hAnsi="メイリオ" w:cs="メイリオ"/>
          <w:kern w:val="0"/>
          <w:sz w:val="22"/>
        </w:rPr>
      </w:pPr>
      <w:r w:rsidRPr="00E62AD8">
        <w:rPr>
          <w:rFonts w:ascii="HGPｺﾞｼｯｸM" w:eastAsia="HGPｺﾞｼｯｸM" w:hAnsi="メイリオ" w:cs="メイリオ" w:hint="eastAsia"/>
          <w:b/>
          <w:bCs/>
          <w:kern w:val="0"/>
          <w:sz w:val="22"/>
        </w:rPr>
        <w:t>【活動のポイント】</w:t>
      </w:r>
      <w:r w:rsidR="00DA0759" w:rsidRPr="00DA0759">
        <w:rPr>
          <w:rFonts w:ascii="HGPｺﾞｼｯｸM" w:eastAsia="HGPｺﾞｼｯｸM" w:hAnsi="メイリオ" w:cs="メイリオ" w:hint="eastAsia"/>
          <w:bCs/>
          <w:kern w:val="0"/>
          <w:sz w:val="22"/>
        </w:rPr>
        <w:t xml:space="preserve">　</w:t>
      </w:r>
      <w:r w:rsidR="005C04E9">
        <w:rPr>
          <w:rFonts w:ascii="HGPｺﾞｼｯｸM" w:eastAsia="HGPｺﾞｼｯｸM" w:hAnsi="メイリオ" w:cs="メイリオ" w:hint="eastAsia"/>
          <w:bCs/>
          <w:kern w:val="0"/>
          <w:sz w:val="22"/>
        </w:rPr>
        <w:t>後遺障害の異議申立及び事故と損害の因果関係の立証</w:t>
      </w:r>
    </w:p>
    <w:p w14:paraId="175EB7F4" w14:textId="74315907" w:rsidR="00E62AD8" w:rsidRPr="004501C5" w:rsidRDefault="00E62AD8" w:rsidP="00E62AD8">
      <w:pPr>
        <w:widowControl/>
        <w:shd w:val="clear" w:color="auto" w:fill="FFFFE0"/>
        <w:jc w:val="left"/>
        <w:textAlignment w:val="baseline"/>
        <w:rPr>
          <w:rFonts w:ascii="HGPｺﾞｼｯｸM" w:eastAsia="HGPｺﾞｼｯｸM" w:hAnsi="メイリオ" w:cs="メイリオ"/>
          <w:b/>
          <w:kern w:val="0"/>
          <w:sz w:val="22"/>
        </w:rPr>
      </w:pPr>
      <w:r w:rsidRPr="00E62AD8">
        <w:rPr>
          <w:rFonts w:ascii="HGPｺﾞｼｯｸM" w:eastAsia="HGPｺﾞｼｯｸM" w:hAnsi="メイリオ" w:cs="メイリオ" w:hint="eastAsia"/>
          <w:b/>
          <w:bCs/>
          <w:kern w:val="0"/>
          <w:sz w:val="22"/>
        </w:rPr>
        <w:t>【サポート結果】</w:t>
      </w:r>
      <w:r w:rsidR="00DA0759">
        <w:rPr>
          <w:rFonts w:ascii="HGPｺﾞｼｯｸM" w:eastAsia="HGPｺﾞｼｯｸM" w:hAnsi="メイリオ" w:cs="メイリオ" w:hint="eastAsia"/>
          <w:b/>
          <w:bCs/>
          <w:kern w:val="0"/>
          <w:sz w:val="22"/>
        </w:rPr>
        <w:t xml:space="preserve">　</w:t>
      </w:r>
      <w:r w:rsidR="005C04E9">
        <w:rPr>
          <w:rFonts w:ascii="HGPｺﾞｼｯｸM" w:eastAsia="HGPｺﾞｼｯｸM" w:hAnsi="メイリオ" w:cs="メイリオ" w:hint="eastAsia"/>
          <w:b/>
          <w:bCs/>
          <w:kern w:val="0"/>
          <w:sz w:val="22"/>
        </w:rPr>
        <w:t>相手方提案額０円から賠償額２０９万円にて解決</w:t>
      </w:r>
    </w:p>
    <w:p w14:paraId="27C3DA8B" w14:textId="77777777" w:rsidR="00E62AD8" w:rsidRPr="0074018B" w:rsidRDefault="00E62AD8" w:rsidP="00E62AD8">
      <w:pPr>
        <w:widowControl/>
        <w:jc w:val="left"/>
        <w:rPr>
          <w:rFonts w:ascii="HGPｺﾞｼｯｸM" w:eastAsia="HGPｺﾞｼｯｸM" w:hAnsi="メイリオ" w:cs="メイリオ"/>
          <w:kern w:val="0"/>
          <w:sz w:val="24"/>
          <w:szCs w:val="24"/>
        </w:rPr>
      </w:pPr>
    </w:p>
    <w:tbl>
      <w:tblPr>
        <w:tblW w:w="94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55"/>
        <w:gridCol w:w="2415"/>
        <w:gridCol w:w="2552"/>
        <w:gridCol w:w="2183"/>
      </w:tblGrid>
      <w:tr w:rsidR="006641B3" w:rsidRPr="00E62AD8" w14:paraId="74859388" w14:textId="77777777" w:rsidTr="006641B3">
        <w:trPr>
          <w:tblCellSpacing w:w="15" w:type="dxa"/>
        </w:trPr>
        <w:tc>
          <w:tcPr>
            <w:tcW w:w="2210" w:type="dxa"/>
            <w:tcBorders>
              <w:top w:val="single" w:sz="6" w:space="0" w:color="225588"/>
              <w:left w:val="single" w:sz="6" w:space="0" w:color="225588"/>
              <w:bottom w:val="single" w:sz="6" w:space="0" w:color="225588"/>
            </w:tcBorders>
            <w:shd w:val="clear" w:color="auto" w:fill="F1F6FC"/>
            <w:tcMar>
              <w:top w:w="120" w:type="dxa"/>
              <w:left w:w="225" w:type="dxa"/>
              <w:bottom w:w="120" w:type="dxa"/>
              <w:right w:w="225" w:type="dxa"/>
            </w:tcMar>
            <w:vAlign w:val="center"/>
            <w:hideMark/>
          </w:tcPr>
          <w:p w14:paraId="1FA3C43D" w14:textId="77777777" w:rsidR="00E62AD8" w:rsidRPr="00E62AD8" w:rsidRDefault="00E62AD8" w:rsidP="00E62AD8">
            <w:pPr>
              <w:widowControl/>
              <w:jc w:val="center"/>
              <w:rPr>
                <w:rFonts w:ascii="HGPｺﾞｼｯｸM" w:eastAsia="HGPｺﾞｼｯｸM" w:hAnsi="メイリオ" w:cs="メイリオ"/>
                <w:b/>
                <w:bCs/>
                <w:kern w:val="0"/>
                <w:szCs w:val="21"/>
              </w:rPr>
            </w:pPr>
            <w:r w:rsidRPr="00E62AD8">
              <w:rPr>
                <w:rFonts w:ascii="HGPｺﾞｼｯｸM" w:eastAsia="HGPｺﾞｼｯｸM" w:hAnsi="メイリオ" w:cs="メイリオ" w:hint="eastAsia"/>
                <w:b/>
                <w:bCs/>
                <w:kern w:val="0"/>
                <w:szCs w:val="21"/>
              </w:rPr>
              <w:t>主な損害項目</w:t>
            </w:r>
          </w:p>
        </w:tc>
        <w:tc>
          <w:tcPr>
            <w:tcW w:w="2385" w:type="dxa"/>
            <w:tcBorders>
              <w:top w:val="single" w:sz="6" w:space="0" w:color="225588"/>
              <w:left w:val="single" w:sz="6" w:space="0" w:color="225588"/>
              <w:bottom w:val="single" w:sz="6" w:space="0" w:color="225588"/>
            </w:tcBorders>
            <w:shd w:val="clear" w:color="auto" w:fill="F1F6FC"/>
            <w:tcMar>
              <w:top w:w="120" w:type="dxa"/>
              <w:left w:w="225" w:type="dxa"/>
              <w:bottom w:w="120" w:type="dxa"/>
              <w:right w:w="225" w:type="dxa"/>
            </w:tcMar>
            <w:vAlign w:val="center"/>
            <w:hideMark/>
          </w:tcPr>
          <w:p w14:paraId="68AC2569" w14:textId="5FB3D4A4" w:rsidR="00E62AD8" w:rsidRPr="00E62AD8" w:rsidRDefault="0074018B" w:rsidP="00ED302A">
            <w:pPr>
              <w:widowControl/>
              <w:jc w:val="center"/>
              <w:rPr>
                <w:rFonts w:ascii="HGPｺﾞｼｯｸM" w:eastAsia="HGPｺﾞｼｯｸM" w:hAnsi="メイリオ" w:cs="メイリオ"/>
                <w:b/>
                <w:bCs/>
                <w:kern w:val="0"/>
                <w:szCs w:val="21"/>
              </w:rPr>
            </w:pPr>
            <w:r>
              <w:rPr>
                <w:rFonts w:ascii="HGPｺﾞｼｯｸM" w:eastAsia="HGPｺﾞｼｯｸM" w:hAnsi="メイリオ" w:cs="メイリオ" w:hint="eastAsia"/>
                <w:b/>
                <w:bCs/>
                <w:kern w:val="0"/>
                <w:szCs w:val="21"/>
              </w:rPr>
              <w:t>相手主張</w:t>
            </w:r>
          </w:p>
        </w:tc>
        <w:tc>
          <w:tcPr>
            <w:tcW w:w="2522" w:type="dxa"/>
            <w:tcBorders>
              <w:top w:val="single" w:sz="6" w:space="0" w:color="225588"/>
              <w:left w:val="single" w:sz="6" w:space="0" w:color="225588"/>
              <w:bottom w:val="single" w:sz="6" w:space="0" w:color="225588"/>
            </w:tcBorders>
            <w:shd w:val="clear" w:color="auto" w:fill="F1F6FC"/>
            <w:tcMar>
              <w:top w:w="120" w:type="dxa"/>
              <w:left w:w="225" w:type="dxa"/>
              <w:bottom w:w="120" w:type="dxa"/>
              <w:right w:w="225" w:type="dxa"/>
            </w:tcMar>
            <w:vAlign w:val="center"/>
            <w:hideMark/>
          </w:tcPr>
          <w:p w14:paraId="4C3D56F3" w14:textId="77777777" w:rsidR="00A005E5" w:rsidRDefault="005C04E9" w:rsidP="002A4C0A">
            <w:pPr>
              <w:widowControl/>
              <w:jc w:val="center"/>
              <w:rPr>
                <w:rFonts w:ascii="HGPｺﾞｼｯｸM" w:eastAsia="HGPｺﾞｼｯｸM" w:hAnsi="メイリオ" w:cs="メイリオ"/>
                <w:b/>
                <w:bCs/>
                <w:kern w:val="0"/>
                <w:szCs w:val="21"/>
              </w:rPr>
            </w:pPr>
            <w:r>
              <w:rPr>
                <w:rFonts w:ascii="HGPｺﾞｼｯｸM" w:eastAsia="HGPｺﾞｼｯｸM" w:hAnsi="メイリオ" w:cs="メイリオ" w:hint="eastAsia"/>
                <w:b/>
                <w:bCs/>
                <w:kern w:val="0"/>
                <w:szCs w:val="21"/>
              </w:rPr>
              <w:t>解決額</w:t>
            </w:r>
          </w:p>
          <w:p w14:paraId="2F241166" w14:textId="4FCF557C" w:rsidR="00E62AD8" w:rsidRPr="00E62AD8" w:rsidRDefault="005C04E9" w:rsidP="002A4C0A">
            <w:pPr>
              <w:widowControl/>
              <w:jc w:val="center"/>
              <w:rPr>
                <w:rFonts w:ascii="HGPｺﾞｼｯｸM" w:eastAsia="HGPｺﾞｼｯｸM" w:hAnsi="メイリオ" w:cs="メイリオ"/>
                <w:b/>
                <w:bCs/>
                <w:kern w:val="0"/>
                <w:szCs w:val="21"/>
              </w:rPr>
            </w:pPr>
            <w:r>
              <w:rPr>
                <w:rFonts w:ascii="HGPｺﾞｼｯｸM" w:eastAsia="HGPｺﾞｼｯｸM" w:hAnsi="メイリオ" w:cs="メイリオ" w:hint="eastAsia"/>
                <w:b/>
                <w:bCs/>
                <w:kern w:val="0"/>
                <w:szCs w:val="21"/>
              </w:rPr>
              <w:t>（既払金を</w:t>
            </w:r>
            <w:r w:rsidR="00A005E5">
              <w:rPr>
                <w:rFonts w:ascii="HGPｺﾞｼｯｸM" w:eastAsia="HGPｺﾞｼｯｸM" w:hAnsi="メイリオ" w:cs="メイリオ" w:hint="eastAsia"/>
                <w:b/>
                <w:bCs/>
                <w:kern w:val="0"/>
                <w:szCs w:val="21"/>
              </w:rPr>
              <w:t>除く</w:t>
            </w:r>
            <w:r>
              <w:rPr>
                <w:rFonts w:ascii="HGPｺﾞｼｯｸM" w:eastAsia="HGPｺﾞｼｯｸM" w:hAnsi="メイリオ" w:cs="メイリオ" w:hint="eastAsia"/>
                <w:b/>
                <w:bCs/>
                <w:kern w:val="0"/>
                <w:szCs w:val="21"/>
              </w:rPr>
              <w:t>）</w:t>
            </w:r>
          </w:p>
        </w:tc>
        <w:tc>
          <w:tcPr>
            <w:tcW w:w="2138" w:type="dxa"/>
            <w:tcBorders>
              <w:top w:val="single" w:sz="6" w:space="0" w:color="225588"/>
              <w:left w:val="single" w:sz="6" w:space="0" w:color="225588"/>
              <w:bottom w:val="single" w:sz="6" w:space="0" w:color="225588"/>
              <w:right w:val="single" w:sz="6" w:space="0" w:color="225588"/>
            </w:tcBorders>
            <w:shd w:val="clear" w:color="auto" w:fill="F1F6FC"/>
            <w:tcMar>
              <w:top w:w="120" w:type="dxa"/>
              <w:left w:w="225" w:type="dxa"/>
              <w:bottom w:w="120" w:type="dxa"/>
              <w:right w:w="225" w:type="dxa"/>
            </w:tcMar>
            <w:vAlign w:val="center"/>
            <w:hideMark/>
          </w:tcPr>
          <w:p w14:paraId="15BC513F" w14:textId="36A2FEAE" w:rsidR="00E62AD8" w:rsidRPr="00E62AD8" w:rsidRDefault="005C04E9" w:rsidP="00E62AD8">
            <w:pPr>
              <w:widowControl/>
              <w:jc w:val="center"/>
              <w:rPr>
                <w:rFonts w:ascii="HGPｺﾞｼｯｸM" w:eastAsia="HGPｺﾞｼｯｸM" w:hAnsi="メイリオ" w:cs="メイリオ"/>
                <w:b/>
                <w:bCs/>
                <w:kern w:val="0"/>
                <w:szCs w:val="21"/>
              </w:rPr>
            </w:pPr>
            <w:r>
              <w:rPr>
                <w:rFonts w:ascii="HGPｺﾞｼｯｸM" w:eastAsia="HGPｺﾞｼｯｸM" w:hAnsi="メイリオ" w:cs="メイリオ" w:hint="eastAsia"/>
                <w:b/>
                <w:bCs/>
                <w:kern w:val="0"/>
                <w:szCs w:val="21"/>
              </w:rPr>
              <w:t>既払金を入れた解決額</w:t>
            </w:r>
          </w:p>
        </w:tc>
      </w:tr>
      <w:tr w:rsidR="00B41FC7" w:rsidRPr="00E62AD8" w14:paraId="74DBB897" w14:textId="77777777" w:rsidTr="00C24A19">
        <w:trPr>
          <w:tblCellSpacing w:w="15" w:type="dxa"/>
        </w:trPr>
        <w:tc>
          <w:tcPr>
            <w:tcW w:w="2210" w:type="dxa"/>
            <w:tcBorders>
              <w:left w:val="single" w:sz="6" w:space="0" w:color="84B2E0"/>
            </w:tcBorders>
            <w:shd w:val="clear" w:color="auto" w:fill="FFFFFF"/>
            <w:tcMar>
              <w:top w:w="60" w:type="dxa"/>
              <w:left w:w="225" w:type="dxa"/>
              <w:bottom w:w="60" w:type="dxa"/>
              <w:right w:w="225" w:type="dxa"/>
            </w:tcMar>
            <w:vAlign w:val="center"/>
            <w:hideMark/>
          </w:tcPr>
          <w:p w14:paraId="4379CAB5" w14:textId="08ABA77E" w:rsidR="00B41FC7" w:rsidRPr="00E62AD8" w:rsidRDefault="005C04E9" w:rsidP="002A4C0A">
            <w:pPr>
              <w:widowControl/>
              <w:jc w:val="center"/>
              <w:rPr>
                <w:rFonts w:ascii="HGPｺﾞｼｯｸM" w:eastAsia="HGPｺﾞｼｯｸM" w:hAnsi="メイリオ" w:cs="メイリオ"/>
                <w:kern w:val="0"/>
                <w:szCs w:val="21"/>
              </w:rPr>
            </w:pPr>
            <w:r>
              <w:rPr>
                <w:rFonts w:ascii="HGPｺﾞｼｯｸM" w:eastAsia="HGPｺﾞｼｯｸM" w:hAnsi="メイリオ" w:cs="メイリオ" w:hint="eastAsia"/>
                <w:kern w:val="0"/>
                <w:szCs w:val="21"/>
              </w:rPr>
              <w:t>休業損害・後遺障害に基づく損害等</w:t>
            </w:r>
          </w:p>
        </w:tc>
        <w:tc>
          <w:tcPr>
            <w:tcW w:w="2385" w:type="dxa"/>
            <w:tcBorders>
              <w:left w:val="single" w:sz="6" w:space="0" w:color="84B2E0"/>
            </w:tcBorders>
            <w:shd w:val="clear" w:color="auto" w:fill="FFFFFF"/>
            <w:tcMar>
              <w:top w:w="60" w:type="dxa"/>
              <w:left w:w="225" w:type="dxa"/>
              <w:bottom w:w="60" w:type="dxa"/>
              <w:right w:w="225" w:type="dxa"/>
            </w:tcMar>
            <w:vAlign w:val="center"/>
            <w:hideMark/>
          </w:tcPr>
          <w:p w14:paraId="326256CC" w14:textId="00EDDD53" w:rsidR="00B41FC7" w:rsidRPr="00827AD0" w:rsidRDefault="005C04E9" w:rsidP="00C24A19">
            <w:pPr>
              <w:widowControl/>
              <w:jc w:val="center"/>
              <w:rPr>
                <w:rFonts w:ascii="HGPｺﾞｼｯｸM" w:eastAsia="HGPｺﾞｼｯｸM" w:hAnsi="メイリオ" w:cs="メイリオ"/>
                <w:b/>
                <w:kern w:val="0"/>
                <w:szCs w:val="21"/>
              </w:rPr>
            </w:pPr>
            <w:r>
              <w:rPr>
                <w:rFonts w:ascii="HGPｺﾞｼｯｸM" w:eastAsia="HGPｺﾞｼｯｸM" w:hAnsi="メイリオ" w:cs="メイリオ" w:hint="eastAsia"/>
                <w:b/>
                <w:kern w:val="0"/>
                <w:szCs w:val="21"/>
              </w:rPr>
              <w:t>0</w:t>
            </w:r>
          </w:p>
        </w:tc>
        <w:tc>
          <w:tcPr>
            <w:tcW w:w="2522" w:type="dxa"/>
            <w:tcBorders>
              <w:left w:val="single" w:sz="6" w:space="0" w:color="84B2E0"/>
            </w:tcBorders>
            <w:shd w:val="clear" w:color="auto" w:fill="FFFFFF"/>
            <w:tcMar>
              <w:top w:w="60" w:type="dxa"/>
              <w:left w:w="225" w:type="dxa"/>
              <w:bottom w:w="60" w:type="dxa"/>
              <w:right w:w="225" w:type="dxa"/>
            </w:tcMar>
            <w:vAlign w:val="center"/>
            <w:hideMark/>
          </w:tcPr>
          <w:p w14:paraId="01A8B02C" w14:textId="2F9B38BB" w:rsidR="00577D56" w:rsidRPr="002A4C0A" w:rsidRDefault="005C04E9" w:rsidP="0074018B">
            <w:pPr>
              <w:widowControl/>
              <w:jc w:val="center"/>
              <w:rPr>
                <w:rFonts w:ascii="HGPｺﾞｼｯｸM" w:eastAsia="HGPｺﾞｼｯｸM" w:hAnsi="メイリオ" w:cs="メイリオ"/>
                <w:b/>
                <w:kern w:val="0"/>
                <w:szCs w:val="21"/>
              </w:rPr>
            </w:pPr>
            <w:r>
              <w:rPr>
                <w:rFonts w:ascii="HGPｺﾞｼｯｸM" w:eastAsia="HGPｺﾞｼｯｸM" w:hAnsi="メイリオ" w:cs="メイリオ" w:hint="eastAsia"/>
                <w:b/>
                <w:kern w:val="0"/>
                <w:szCs w:val="21"/>
              </w:rPr>
              <w:t>209万円</w:t>
            </w:r>
          </w:p>
        </w:tc>
        <w:tc>
          <w:tcPr>
            <w:tcW w:w="2138" w:type="dxa"/>
            <w:tcBorders>
              <w:left w:val="single" w:sz="6" w:space="0" w:color="84B2E0"/>
              <w:right w:val="single" w:sz="6" w:space="0" w:color="84B2E0"/>
            </w:tcBorders>
            <w:shd w:val="clear" w:color="auto" w:fill="FFFFFF"/>
            <w:tcMar>
              <w:top w:w="60" w:type="dxa"/>
              <w:left w:w="225" w:type="dxa"/>
              <w:bottom w:w="60" w:type="dxa"/>
              <w:right w:w="225" w:type="dxa"/>
            </w:tcMar>
            <w:vAlign w:val="center"/>
            <w:hideMark/>
          </w:tcPr>
          <w:p w14:paraId="7803EE8A" w14:textId="1F92B775" w:rsidR="000A63C2" w:rsidRDefault="005C04E9" w:rsidP="00D80B14">
            <w:pPr>
              <w:widowControl/>
              <w:jc w:val="center"/>
              <w:rPr>
                <w:rFonts w:ascii="HGPｺﾞｼｯｸM" w:eastAsia="HGPｺﾞｼｯｸM" w:hAnsi="メイリオ" w:cs="メイリオ"/>
                <w:b/>
                <w:kern w:val="0"/>
                <w:szCs w:val="21"/>
              </w:rPr>
            </w:pPr>
            <w:r>
              <w:rPr>
                <w:rFonts w:ascii="HGPｺﾞｼｯｸM" w:eastAsia="HGPｺﾞｼｯｸM" w:hAnsi="メイリオ" w:cs="メイリオ" w:hint="eastAsia"/>
                <w:b/>
                <w:kern w:val="0"/>
                <w:szCs w:val="21"/>
              </w:rPr>
              <w:t>413万円</w:t>
            </w:r>
          </w:p>
          <w:p w14:paraId="3F7B3637" w14:textId="4D236C88" w:rsidR="00B41FC7" w:rsidRPr="006302E0" w:rsidRDefault="00B41FC7" w:rsidP="00D80B14">
            <w:pPr>
              <w:widowControl/>
              <w:jc w:val="center"/>
              <w:rPr>
                <w:rFonts w:ascii="HGPｺﾞｼｯｸM" w:eastAsia="HGPｺﾞｼｯｸM" w:hAnsi="メイリオ" w:cs="メイリオ"/>
                <w:b/>
                <w:kern w:val="0"/>
                <w:szCs w:val="21"/>
              </w:rPr>
            </w:pPr>
          </w:p>
        </w:tc>
      </w:tr>
    </w:tbl>
    <w:p w14:paraId="7F2572EC" w14:textId="77777777" w:rsidR="0084458A" w:rsidRPr="00E62AD8" w:rsidRDefault="00E62AD8" w:rsidP="00E62AD8">
      <w:pPr>
        <w:widowControl/>
        <w:spacing w:before="300" w:after="30"/>
        <w:jc w:val="left"/>
        <w:textAlignment w:val="baseline"/>
        <w:outlineLvl w:val="2"/>
        <w:rPr>
          <w:rFonts w:ascii="HGPｺﾞｼｯｸM" w:eastAsia="HGPｺﾞｼｯｸM" w:hAnsi="メイリオ" w:cs="メイリオ"/>
          <w:b/>
          <w:bCs/>
          <w:kern w:val="0"/>
          <w:sz w:val="26"/>
          <w:szCs w:val="26"/>
        </w:rPr>
      </w:pPr>
      <w:r w:rsidRPr="00E62AD8">
        <w:rPr>
          <w:rFonts w:ascii="HGPｺﾞｼｯｸM" w:eastAsia="HGPｺﾞｼｯｸM" w:hAnsi="メイリオ" w:cs="メイリオ" w:hint="eastAsia"/>
          <w:b/>
          <w:bCs/>
          <w:kern w:val="0"/>
          <w:sz w:val="26"/>
          <w:szCs w:val="26"/>
        </w:rPr>
        <w:t>1.相談・依頼のきっかけ</w:t>
      </w:r>
    </w:p>
    <w:p w14:paraId="61445640" w14:textId="2171EE34" w:rsidR="004A255D" w:rsidRDefault="00060D73" w:rsidP="00042F98">
      <w:pPr>
        <w:widowControl/>
        <w:shd w:val="clear" w:color="auto" w:fill="FFFFFF"/>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w:t>
      </w:r>
      <w:r w:rsidR="003838B3">
        <w:rPr>
          <w:rFonts w:ascii="HGPｺﾞｼｯｸM" w:eastAsia="HGPｺﾞｼｯｸM" w:hAnsi="メイリオ" w:cs="メイリオ" w:hint="eastAsia"/>
          <w:kern w:val="0"/>
          <w:sz w:val="24"/>
          <w:szCs w:val="24"/>
        </w:rPr>
        <w:t>Ａさんは</w:t>
      </w:r>
      <w:r w:rsidR="004A255D">
        <w:rPr>
          <w:rFonts w:ascii="HGPｺﾞｼｯｸM" w:eastAsia="HGPｺﾞｼｯｸM" w:hAnsi="メイリオ" w:cs="メイリオ" w:hint="eastAsia"/>
          <w:kern w:val="0"/>
          <w:sz w:val="24"/>
          <w:szCs w:val="24"/>
        </w:rPr>
        <w:t>信号停止中に追突されて，頸椎捻挫・腰椎捻挫等の傷害を負いました。</w:t>
      </w:r>
    </w:p>
    <w:p w14:paraId="52C6FFEF" w14:textId="4AC38156" w:rsidR="004501C5" w:rsidRDefault="004A255D" w:rsidP="004A255D">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ところが，事故の相手方の任意保険会社は，事故が軽微な事故であると判断し，治療費の支払いをしない対応をとりました（一括対応の拒否）。</w:t>
      </w:r>
    </w:p>
    <w:p w14:paraId="49459F1A" w14:textId="2ACBFBC9" w:rsidR="004A255D" w:rsidRDefault="004A255D" w:rsidP="004A255D">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このため，Aさんは自身の入っていた自動車保険の人身傷害保険を利用し，治療費・休業損害・慰謝料等の支払いを受けました。</w:t>
      </w:r>
    </w:p>
    <w:p w14:paraId="6E871F04" w14:textId="28F99938" w:rsidR="004A255D" w:rsidRDefault="004A255D" w:rsidP="004A255D">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lastRenderedPageBreak/>
        <w:t>Aさんはシングルマザーで，Wワークをしながらお子さんを育てていましたが，事故による治療で欠勤が続き，勤務先から退職を促されて退職することになりました。</w:t>
      </w:r>
    </w:p>
    <w:p w14:paraId="0B9BFA73" w14:textId="0D63C074" w:rsidR="004A255D" w:rsidRPr="00F51011" w:rsidRDefault="004A255D" w:rsidP="004A255D">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そのような中で，Aさんは別の法律事務所に交通事故の損害賠償請求を依頼されましたが，自賠責保険への後遺障害の等級認定申請が非該当になり，当事務所の以前の依頼者様からの紹介で当事務所に相談にお見えになりました。</w:t>
      </w:r>
    </w:p>
    <w:p w14:paraId="37555BD3" w14:textId="77777777" w:rsidR="00E62AD8" w:rsidRPr="00E62AD8" w:rsidRDefault="00E62AD8" w:rsidP="007C5B1A">
      <w:pPr>
        <w:widowControl/>
        <w:shd w:val="clear" w:color="auto" w:fill="FFFFFF"/>
        <w:jc w:val="left"/>
        <w:textAlignment w:val="baseline"/>
        <w:rPr>
          <w:rFonts w:ascii="HGPｺﾞｼｯｸM" w:eastAsia="HGPｺﾞｼｯｸM" w:hAnsi="メイリオ" w:cs="メイリオ"/>
          <w:b/>
          <w:bCs/>
          <w:kern w:val="0"/>
          <w:sz w:val="26"/>
          <w:szCs w:val="26"/>
        </w:rPr>
      </w:pPr>
      <w:r w:rsidRPr="00E62AD8">
        <w:rPr>
          <w:rFonts w:ascii="HGPｺﾞｼｯｸM" w:eastAsia="HGPｺﾞｼｯｸM" w:hAnsi="メイリオ" w:cs="メイリオ" w:hint="eastAsia"/>
          <w:b/>
          <w:bCs/>
          <w:kern w:val="0"/>
          <w:sz w:val="26"/>
          <w:szCs w:val="26"/>
        </w:rPr>
        <w:t>2.</w:t>
      </w:r>
      <w:r w:rsidR="00DA0759">
        <w:rPr>
          <w:rFonts w:ascii="HGPｺﾞｼｯｸM" w:eastAsia="HGPｺﾞｼｯｸM" w:hAnsi="メイリオ" w:cs="メイリオ" w:hint="eastAsia"/>
          <w:b/>
          <w:bCs/>
          <w:kern w:val="0"/>
          <w:sz w:val="26"/>
          <w:szCs w:val="26"/>
        </w:rPr>
        <w:t>受任後の</w:t>
      </w:r>
      <w:r w:rsidRPr="00E62AD8">
        <w:rPr>
          <w:rFonts w:ascii="HGPｺﾞｼｯｸM" w:eastAsia="HGPｺﾞｼｯｸM" w:hAnsi="メイリオ" w:cs="メイリオ" w:hint="eastAsia"/>
          <w:b/>
          <w:bCs/>
          <w:kern w:val="0"/>
          <w:sz w:val="26"/>
          <w:szCs w:val="26"/>
        </w:rPr>
        <w:t>活動</w:t>
      </w:r>
    </w:p>
    <w:p w14:paraId="4C53497C" w14:textId="03AC4F83" w:rsidR="008317E1" w:rsidRDefault="00F52A50" w:rsidP="00D005CC">
      <w:pPr>
        <w:widowControl/>
        <w:shd w:val="clear" w:color="auto" w:fill="FFFFFF"/>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（１）</w:t>
      </w:r>
      <w:r w:rsidR="004A255D">
        <w:rPr>
          <w:rFonts w:ascii="HGPｺﾞｼｯｸM" w:eastAsia="HGPｺﾞｼｯｸM" w:hAnsi="メイリオ" w:cs="メイリオ" w:hint="eastAsia"/>
          <w:kern w:val="0"/>
          <w:sz w:val="24"/>
          <w:szCs w:val="24"/>
        </w:rPr>
        <w:t>医療記録の検討・異議申立</w:t>
      </w:r>
    </w:p>
    <w:p w14:paraId="51FBD14A" w14:textId="085940A0" w:rsidR="004A255D" w:rsidRDefault="008317E1" w:rsidP="004A255D">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w:t>
      </w:r>
      <w:r w:rsidR="004A255D">
        <w:rPr>
          <w:rFonts w:ascii="HGPｺﾞｼｯｸM" w:eastAsia="HGPｺﾞｼｯｸM" w:hAnsi="メイリオ" w:cs="メイリオ" w:hint="eastAsia"/>
          <w:kern w:val="0"/>
          <w:sz w:val="24"/>
          <w:szCs w:val="24"/>
        </w:rPr>
        <w:t>自賠責保険の後遺障害等級認定の非該当の通知内容と</w:t>
      </w:r>
      <w:r w:rsidR="003838B3">
        <w:rPr>
          <w:rFonts w:ascii="HGPｺﾞｼｯｸM" w:eastAsia="HGPｺﾞｼｯｸM" w:hAnsi="メイリオ" w:cs="メイリオ" w:hint="eastAsia"/>
          <w:kern w:val="0"/>
          <w:sz w:val="24"/>
          <w:szCs w:val="24"/>
        </w:rPr>
        <w:t>Ａさん</w:t>
      </w:r>
      <w:r w:rsidR="004A255D">
        <w:rPr>
          <w:rFonts w:ascii="HGPｺﾞｼｯｸM" w:eastAsia="HGPｺﾞｼｯｸM" w:hAnsi="メイリオ" w:cs="メイリオ" w:hint="eastAsia"/>
          <w:kern w:val="0"/>
          <w:sz w:val="24"/>
          <w:szCs w:val="24"/>
        </w:rPr>
        <w:t>の医療記録を比較検討し，腰椎椎間板ヘルニアの存在が見落とされている可能性を指摘するとともにAさんの事故から現在に至るまでの症状の経過をもとに自賠責保険に異議申立を行いました。</w:t>
      </w:r>
    </w:p>
    <w:p w14:paraId="0407A23C" w14:textId="6E0578F9" w:rsidR="008317E1" w:rsidRDefault="00F51011"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（２）</w:t>
      </w:r>
      <w:r w:rsidR="004A255D">
        <w:rPr>
          <w:rFonts w:ascii="HGPｺﾞｼｯｸM" w:eastAsia="HGPｺﾞｼｯｸM" w:hAnsi="メイリオ" w:cs="メイリオ" w:hint="eastAsia"/>
          <w:kern w:val="0"/>
          <w:sz w:val="24"/>
          <w:szCs w:val="24"/>
        </w:rPr>
        <w:t>訴訟提起</w:t>
      </w:r>
    </w:p>
    <w:p w14:paraId="65DD67D6" w14:textId="4FCD4E94" w:rsidR="004A255D" w:rsidRDefault="008317E1"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w:t>
      </w:r>
      <w:r w:rsidR="004A255D">
        <w:rPr>
          <w:rFonts w:ascii="HGPｺﾞｼｯｸM" w:eastAsia="HGPｺﾞｼｯｸM" w:hAnsi="メイリオ" w:cs="メイリオ" w:hint="eastAsia"/>
          <w:kern w:val="0"/>
          <w:sz w:val="24"/>
          <w:szCs w:val="24"/>
        </w:rPr>
        <w:t>異議申立の結果，</w:t>
      </w:r>
      <w:r w:rsidR="006C7A50">
        <w:rPr>
          <w:rFonts w:ascii="HGPｺﾞｼｯｸM" w:eastAsia="HGPｺﾞｼｯｸM" w:hAnsi="メイリオ" w:cs="メイリオ" w:hint="eastAsia"/>
          <w:kern w:val="0"/>
          <w:sz w:val="24"/>
          <w:szCs w:val="24"/>
        </w:rPr>
        <w:t>Aさんの異議申立が認められました。</w:t>
      </w:r>
    </w:p>
    <w:p w14:paraId="124C7057" w14:textId="4A62E070" w:rsidR="006C7A50" w:rsidRDefault="006C7A50"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そこで，後遺障害等級14級を前提とする損害の算定を行い，相手方保険会社に損害賠償の提案を行いました。</w:t>
      </w:r>
    </w:p>
    <w:p w14:paraId="4E490ED0" w14:textId="1B591B0C" w:rsidR="006C7A50" w:rsidRDefault="006C7A50"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lastRenderedPageBreak/>
        <w:t xml:space="preserve">　　ところが，相手方保険会社は，Aさんの事故は，軽微な事故であり，</w:t>
      </w:r>
      <w:r w:rsidR="00B475A8">
        <w:rPr>
          <w:rFonts w:ascii="HGPｺﾞｼｯｸM" w:eastAsia="HGPｺﾞｼｯｸM" w:hAnsi="メイリオ" w:cs="メイリオ" w:hint="eastAsia"/>
          <w:kern w:val="0"/>
          <w:sz w:val="24"/>
          <w:szCs w:val="24"/>
        </w:rPr>
        <w:t>もともと損害はなく，</w:t>
      </w:r>
      <w:r>
        <w:rPr>
          <w:rFonts w:ascii="HGPｺﾞｼｯｸM" w:eastAsia="HGPｺﾞｼｯｸM" w:hAnsi="メイリオ" w:cs="メイリオ" w:hint="eastAsia"/>
          <w:kern w:val="0"/>
          <w:sz w:val="24"/>
          <w:szCs w:val="24"/>
        </w:rPr>
        <w:t>人身傷害保険金及び自賠責保険の支払額以上</w:t>
      </w:r>
      <w:r w:rsidR="00B475A8">
        <w:rPr>
          <w:rFonts w:ascii="HGPｺﾞｼｯｸM" w:eastAsia="HGPｺﾞｼｯｸM" w:hAnsi="メイリオ" w:cs="メイリオ" w:hint="eastAsia"/>
          <w:kern w:val="0"/>
          <w:sz w:val="24"/>
          <w:szCs w:val="24"/>
        </w:rPr>
        <w:t>を支払う必要はないとして</w:t>
      </w:r>
      <w:r>
        <w:rPr>
          <w:rFonts w:ascii="HGPｺﾞｼｯｸM" w:eastAsia="HGPｺﾞｼｯｸM" w:hAnsi="メイリオ" w:cs="メイリオ" w:hint="eastAsia"/>
          <w:kern w:val="0"/>
          <w:sz w:val="24"/>
          <w:szCs w:val="24"/>
        </w:rPr>
        <w:t>，賠償を拒みました。</w:t>
      </w:r>
    </w:p>
    <w:p w14:paraId="15A2924F" w14:textId="69AEF55F" w:rsidR="006C7A50" w:rsidRDefault="006C7A50"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このため，訴訟を提起することになりました。</w:t>
      </w:r>
    </w:p>
    <w:p w14:paraId="78082F1A" w14:textId="70C93B37" w:rsidR="006C7A50" w:rsidRDefault="006C7A50" w:rsidP="004A3C0C">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（3）訴訟上の和解による解決</w:t>
      </w:r>
    </w:p>
    <w:p w14:paraId="72F18F49" w14:textId="0E3B54AB" w:rsidR="006C7A50" w:rsidRDefault="00B475A8" w:rsidP="00B475A8">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訴訟では，相手方は，Aさんが人身傷害保険で支払いを受けた損害（治療費・慰謝料・休業損害など）も含めて事故との因果関係がない</w:t>
      </w:r>
      <w:r w:rsidR="00AD2B96">
        <w:rPr>
          <w:rFonts w:ascii="HGPｺﾞｼｯｸM" w:eastAsia="HGPｺﾞｼｯｸM" w:hAnsi="メイリオ" w:cs="メイリオ" w:hint="eastAsia"/>
          <w:kern w:val="0"/>
          <w:sz w:val="24"/>
          <w:szCs w:val="24"/>
        </w:rPr>
        <w:t>あるいはAさんの既往症・精神的な要因があるとして減額（素因減額）されるべきと</w:t>
      </w:r>
      <w:r>
        <w:rPr>
          <w:rFonts w:ascii="HGPｺﾞｼｯｸM" w:eastAsia="HGPｺﾞｼｯｸM" w:hAnsi="メイリオ" w:cs="メイリオ" w:hint="eastAsia"/>
          <w:kern w:val="0"/>
          <w:sz w:val="24"/>
          <w:szCs w:val="24"/>
        </w:rPr>
        <w:t>して争ってきました。</w:t>
      </w:r>
    </w:p>
    <w:p w14:paraId="3F87EF94" w14:textId="74344E98" w:rsidR="00B475A8" w:rsidRDefault="00B475A8" w:rsidP="00B475A8">
      <w:pPr>
        <w:widowControl/>
        <w:shd w:val="clear" w:color="auto" w:fill="FFFFFF"/>
        <w:ind w:left="240" w:hangingChars="100" w:hanging="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 xml:space="preserve">　　刑事記録・医療記録をもとに事故の状況と症状の関係，参考となる裁判例等もあげて，Aさんの事故による治療・休業・後遺障害が賠償の対象となることを主張・立証しました。</w:t>
      </w:r>
    </w:p>
    <w:p w14:paraId="415D6DA5" w14:textId="1AF37C67" w:rsidR="003838B3" w:rsidRDefault="00B475A8" w:rsidP="0087536C">
      <w:pPr>
        <w:widowControl/>
        <w:shd w:val="clear" w:color="auto" w:fill="FFFFFF"/>
        <w:ind w:left="240" w:hangingChars="100" w:hanging="240"/>
        <w:jc w:val="left"/>
        <w:textAlignment w:val="baseline"/>
        <w:rPr>
          <w:rFonts w:ascii="HGPｺﾞｼｯｸM" w:eastAsia="HGPｺﾞｼｯｸM" w:hAnsi="メイリオ" w:cs="メイリオ"/>
          <w:b/>
          <w:kern w:val="0"/>
          <w:sz w:val="24"/>
          <w:szCs w:val="24"/>
        </w:rPr>
      </w:pPr>
      <w:r>
        <w:rPr>
          <w:rFonts w:ascii="HGPｺﾞｼｯｸM" w:eastAsia="HGPｺﾞｼｯｸM" w:hAnsi="メイリオ" w:cs="メイリオ" w:hint="eastAsia"/>
          <w:kern w:val="0"/>
          <w:sz w:val="24"/>
          <w:szCs w:val="24"/>
        </w:rPr>
        <w:t xml:space="preserve">　　最終的に</w:t>
      </w:r>
      <w:r w:rsidR="00AD2B96">
        <w:rPr>
          <w:rFonts w:ascii="HGPｺﾞｼｯｸM" w:eastAsia="HGPｺﾞｼｯｸM" w:hAnsi="メイリオ" w:cs="メイリオ" w:hint="eastAsia"/>
          <w:kern w:val="0"/>
          <w:sz w:val="24"/>
          <w:szCs w:val="24"/>
        </w:rPr>
        <w:t>裁判所から和解案が示されることとなり，人身傷害保険金からの支払額（約200万円）の他に自賠責保険からの回収額も含めて209万円の損害が認められ，和解成立となりました。</w:t>
      </w:r>
    </w:p>
    <w:p w14:paraId="16113B11" w14:textId="342D1A79" w:rsidR="0087536C" w:rsidRPr="0087536C" w:rsidRDefault="008317E1" w:rsidP="0087536C">
      <w:pPr>
        <w:widowControl/>
        <w:shd w:val="clear" w:color="auto" w:fill="FFFFFF"/>
        <w:ind w:left="240" w:hangingChars="100" w:hanging="240"/>
        <w:jc w:val="left"/>
        <w:textAlignment w:val="baseline"/>
        <w:rPr>
          <w:rFonts w:ascii="HGPｺﾞｼｯｸM" w:eastAsia="HGPｺﾞｼｯｸM" w:hAnsi="メイリオ" w:cs="メイリオ"/>
          <w:b/>
          <w:kern w:val="0"/>
          <w:sz w:val="24"/>
          <w:szCs w:val="24"/>
        </w:rPr>
      </w:pPr>
      <w:r>
        <w:rPr>
          <w:rFonts w:ascii="HGPｺﾞｼｯｸM" w:eastAsia="HGPｺﾞｼｯｸM" w:hAnsi="メイリオ" w:cs="メイリオ" w:hint="eastAsia"/>
          <w:b/>
          <w:kern w:val="0"/>
          <w:sz w:val="24"/>
          <w:szCs w:val="24"/>
        </w:rPr>
        <w:t>3．</w:t>
      </w:r>
      <w:r w:rsidR="0087536C" w:rsidRPr="0087536C">
        <w:rPr>
          <w:rFonts w:ascii="HGPｺﾞｼｯｸM" w:eastAsia="HGPｺﾞｼｯｸM" w:hAnsi="メイリオ" w:cs="メイリオ" w:hint="eastAsia"/>
          <w:b/>
          <w:kern w:val="0"/>
          <w:sz w:val="24"/>
          <w:szCs w:val="24"/>
        </w:rPr>
        <w:t>当事務所が関与した結果</w:t>
      </w:r>
    </w:p>
    <w:p w14:paraId="76E4B8A0" w14:textId="6E8CD109" w:rsidR="008317E1" w:rsidRDefault="00AD2B96" w:rsidP="00B746C0">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後遺障害の等級が異議申立の結果認められ，損害賠償を拒んでいた相手方から賠償を受けることができました。</w:t>
      </w:r>
    </w:p>
    <w:p w14:paraId="0E406E58" w14:textId="77777777" w:rsidR="0074018B" w:rsidRPr="00B746C0" w:rsidRDefault="0074018B" w:rsidP="00B746C0">
      <w:pPr>
        <w:widowControl/>
        <w:shd w:val="clear" w:color="auto" w:fill="FFFFFF"/>
        <w:ind w:firstLineChars="100" w:firstLine="240"/>
        <w:jc w:val="left"/>
        <w:textAlignment w:val="baseline"/>
        <w:rPr>
          <w:rFonts w:ascii="HGPｺﾞｼｯｸM" w:eastAsia="HGPｺﾞｼｯｸM" w:hAnsi="メイリオ" w:cs="メイリオ"/>
          <w:kern w:val="0"/>
          <w:sz w:val="24"/>
          <w:szCs w:val="24"/>
        </w:rPr>
      </w:pPr>
    </w:p>
    <w:p w14:paraId="7FEE4B9F" w14:textId="77777777" w:rsidR="00E62AD8" w:rsidRPr="00E62AD8" w:rsidRDefault="00E62AD8" w:rsidP="00E62AD8">
      <w:pPr>
        <w:widowControl/>
        <w:shd w:val="clear" w:color="auto" w:fill="FFFFFF"/>
        <w:jc w:val="left"/>
        <w:textAlignment w:val="baseline"/>
        <w:rPr>
          <w:rFonts w:ascii="HGPｺﾞｼｯｸM" w:eastAsia="HGPｺﾞｼｯｸM" w:hAnsi="メイリオ" w:cs="メイリオ"/>
          <w:kern w:val="0"/>
          <w:sz w:val="24"/>
          <w:szCs w:val="24"/>
        </w:rPr>
      </w:pPr>
      <w:r w:rsidRPr="00E62AD8">
        <w:rPr>
          <w:rFonts w:ascii="HGPｺﾞｼｯｸM" w:eastAsia="HGPｺﾞｼｯｸM" w:hAnsi="メイリオ" w:cs="メイリオ" w:hint="eastAsia"/>
          <w:b/>
          <w:bCs/>
          <w:kern w:val="0"/>
          <w:sz w:val="26"/>
          <w:szCs w:val="26"/>
        </w:rPr>
        <w:t>4.（所感）解決のポイント</w:t>
      </w:r>
    </w:p>
    <w:p w14:paraId="3FFB7DA3" w14:textId="7F43FFDD" w:rsidR="00AD2B96" w:rsidRDefault="00AD2B96" w:rsidP="0051352C">
      <w:pPr>
        <w:widowControl/>
        <w:shd w:val="clear" w:color="auto" w:fill="FFFFFF"/>
        <w:ind w:right="960" w:firstLineChars="100" w:firstLine="240"/>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後遺障害の異議申立の結果が出るまでに時間を要したこと，後遺障害の等級認定を受けても，相手方が賠償を拒み，訴訟でも全面的に争われたことでご依頼をお受けしてから解決までに1年半ほどの時間を要することになりました。</w:t>
      </w:r>
    </w:p>
    <w:p w14:paraId="6EBBC202" w14:textId="6A963461" w:rsidR="00AD2B96" w:rsidRDefault="00AD2B96" w:rsidP="0051352C">
      <w:pPr>
        <w:widowControl/>
        <w:shd w:val="clear" w:color="auto" w:fill="FFFFFF"/>
        <w:ind w:right="960" w:firstLineChars="100" w:firstLine="240"/>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相手方が全面的に争ってきたことで，Aさん</w:t>
      </w:r>
      <w:r w:rsidR="0047233F">
        <w:rPr>
          <w:rFonts w:ascii="HGPｺﾞｼｯｸM" w:eastAsia="HGPｺﾞｼｯｸM" w:hAnsi="メイリオ" w:cs="メイリオ" w:hint="eastAsia"/>
          <w:kern w:val="0"/>
          <w:sz w:val="24"/>
          <w:szCs w:val="24"/>
        </w:rPr>
        <w:t>はかなりの精神的なストレスを感じられたことかと思いますが，連絡を密にとらせて頂くことで，不安を少しでも解消しようと努めました。</w:t>
      </w:r>
    </w:p>
    <w:p w14:paraId="1D4F8DDD" w14:textId="120A472E" w:rsidR="0051352C" w:rsidRDefault="0047233F" w:rsidP="0051352C">
      <w:pPr>
        <w:widowControl/>
        <w:shd w:val="clear" w:color="auto" w:fill="FFFFFF"/>
        <w:ind w:right="960" w:firstLineChars="100" w:firstLine="240"/>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Aさんの生活再建のお手伝いが少しでもできたかなと思っています。</w:t>
      </w:r>
    </w:p>
    <w:p w14:paraId="3DDC35CD" w14:textId="4A864D48" w:rsidR="00A16656" w:rsidRPr="005D3967" w:rsidRDefault="00B746C0" w:rsidP="0051352C">
      <w:pPr>
        <w:widowControl/>
        <w:shd w:val="clear" w:color="auto" w:fill="FFFFFF"/>
        <w:ind w:right="960" w:firstLineChars="100" w:firstLine="240"/>
        <w:jc w:val="right"/>
        <w:textAlignment w:val="baseline"/>
        <w:rPr>
          <w:rFonts w:ascii="HGPｺﾞｼｯｸM" w:eastAsia="HGPｺﾞｼｯｸM" w:hAnsi="メイリオ" w:cs="メイリオ"/>
          <w:kern w:val="0"/>
          <w:sz w:val="24"/>
          <w:szCs w:val="24"/>
        </w:rPr>
      </w:pPr>
      <w:r>
        <w:rPr>
          <w:rFonts w:ascii="HGPｺﾞｼｯｸM" w:eastAsia="HGPｺﾞｼｯｸM" w:hAnsi="メイリオ" w:cs="メイリオ" w:hint="eastAsia"/>
          <w:kern w:val="0"/>
          <w:sz w:val="24"/>
          <w:szCs w:val="24"/>
        </w:rPr>
        <w:t>以上</w:t>
      </w:r>
    </w:p>
    <w:sectPr w:rsidR="00A16656" w:rsidRPr="005D3967" w:rsidSect="00AA7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E716" w14:textId="77777777" w:rsidR="00B746C0" w:rsidRDefault="00B746C0" w:rsidP="00664A3B">
      <w:r>
        <w:separator/>
      </w:r>
    </w:p>
  </w:endnote>
  <w:endnote w:type="continuationSeparator" w:id="0">
    <w:p w14:paraId="76B87F99" w14:textId="77777777" w:rsidR="00B746C0" w:rsidRDefault="00B746C0" w:rsidP="0066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DD47" w14:textId="77777777" w:rsidR="00B746C0" w:rsidRDefault="00B746C0" w:rsidP="00664A3B">
      <w:r>
        <w:separator/>
      </w:r>
    </w:p>
  </w:footnote>
  <w:footnote w:type="continuationSeparator" w:id="0">
    <w:p w14:paraId="48098A25" w14:textId="77777777" w:rsidR="00B746C0" w:rsidRDefault="00B746C0" w:rsidP="0066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D8"/>
    <w:rsid w:val="00042F98"/>
    <w:rsid w:val="00060D73"/>
    <w:rsid w:val="000718D9"/>
    <w:rsid w:val="00094398"/>
    <w:rsid w:val="000A63C2"/>
    <w:rsid w:val="000E62ED"/>
    <w:rsid w:val="001360A7"/>
    <w:rsid w:val="001613E9"/>
    <w:rsid w:val="001A688C"/>
    <w:rsid w:val="001C2C03"/>
    <w:rsid w:val="001D5364"/>
    <w:rsid w:val="00241C0E"/>
    <w:rsid w:val="0027230E"/>
    <w:rsid w:val="002A4C0A"/>
    <w:rsid w:val="002A574D"/>
    <w:rsid w:val="002A6E62"/>
    <w:rsid w:val="002B5CD7"/>
    <w:rsid w:val="002D2FEB"/>
    <w:rsid w:val="002F7305"/>
    <w:rsid w:val="00302D9D"/>
    <w:rsid w:val="003262A6"/>
    <w:rsid w:val="00381FF9"/>
    <w:rsid w:val="003838B3"/>
    <w:rsid w:val="003C6AE1"/>
    <w:rsid w:val="00403126"/>
    <w:rsid w:val="004066D5"/>
    <w:rsid w:val="00412D85"/>
    <w:rsid w:val="004501C5"/>
    <w:rsid w:val="0047233F"/>
    <w:rsid w:val="004A255D"/>
    <w:rsid w:val="004A3C0C"/>
    <w:rsid w:val="004B5734"/>
    <w:rsid w:val="004C3EB7"/>
    <w:rsid w:val="00504018"/>
    <w:rsid w:val="0051352C"/>
    <w:rsid w:val="005370CF"/>
    <w:rsid w:val="00577D56"/>
    <w:rsid w:val="005C04E9"/>
    <w:rsid w:val="005C2D0A"/>
    <w:rsid w:val="005D3967"/>
    <w:rsid w:val="006302E0"/>
    <w:rsid w:val="006641B3"/>
    <w:rsid w:val="00664A3B"/>
    <w:rsid w:val="006837FA"/>
    <w:rsid w:val="006C7A50"/>
    <w:rsid w:val="00703F6C"/>
    <w:rsid w:val="00716BA5"/>
    <w:rsid w:val="0074018B"/>
    <w:rsid w:val="007774CE"/>
    <w:rsid w:val="00791EAA"/>
    <w:rsid w:val="007C5B1A"/>
    <w:rsid w:val="007D3CD7"/>
    <w:rsid w:val="007E31CA"/>
    <w:rsid w:val="007F0F95"/>
    <w:rsid w:val="008025BD"/>
    <w:rsid w:val="00827AD0"/>
    <w:rsid w:val="008317E1"/>
    <w:rsid w:val="0084458A"/>
    <w:rsid w:val="0086752D"/>
    <w:rsid w:val="0087470E"/>
    <w:rsid w:val="0087536C"/>
    <w:rsid w:val="00882E4B"/>
    <w:rsid w:val="008A5D4F"/>
    <w:rsid w:val="008B6E0F"/>
    <w:rsid w:val="008E13D8"/>
    <w:rsid w:val="009220D0"/>
    <w:rsid w:val="00926D34"/>
    <w:rsid w:val="009640BD"/>
    <w:rsid w:val="009E32E4"/>
    <w:rsid w:val="009F1DA9"/>
    <w:rsid w:val="00A005E5"/>
    <w:rsid w:val="00A06A09"/>
    <w:rsid w:val="00A16656"/>
    <w:rsid w:val="00A37846"/>
    <w:rsid w:val="00A53809"/>
    <w:rsid w:val="00A9701F"/>
    <w:rsid w:val="00AA71C4"/>
    <w:rsid w:val="00AD2B96"/>
    <w:rsid w:val="00B20561"/>
    <w:rsid w:val="00B403CC"/>
    <w:rsid w:val="00B41FC7"/>
    <w:rsid w:val="00B434E4"/>
    <w:rsid w:val="00B475A8"/>
    <w:rsid w:val="00B746C0"/>
    <w:rsid w:val="00C24A19"/>
    <w:rsid w:val="00C36F59"/>
    <w:rsid w:val="00CA2DCC"/>
    <w:rsid w:val="00CD1BA6"/>
    <w:rsid w:val="00D005CC"/>
    <w:rsid w:val="00D13BB6"/>
    <w:rsid w:val="00D21312"/>
    <w:rsid w:val="00D36ED0"/>
    <w:rsid w:val="00D37578"/>
    <w:rsid w:val="00D80B14"/>
    <w:rsid w:val="00DA0759"/>
    <w:rsid w:val="00DA2319"/>
    <w:rsid w:val="00DA58D9"/>
    <w:rsid w:val="00DD3294"/>
    <w:rsid w:val="00DE283E"/>
    <w:rsid w:val="00E32A7C"/>
    <w:rsid w:val="00E47A57"/>
    <w:rsid w:val="00E62AD8"/>
    <w:rsid w:val="00EA2794"/>
    <w:rsid w:val="00ED302A"/>
    <w:rsid w:val="00EE3497"/>
    <w:rsid w:val="00F12A0E"/>
    <w:rsid w:val="00F46C1C"/>
    <w:rsid w:val="00F51011"/>
    <w:rsid w:val="00F52A50"/>
    <w:rsid w:val="00F56270"/>
    <w:rsid w:val="00F770AD"/>
    <w:rsid w:val="00FE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84A8E5C"/>
  <w15:docId w15:val="{CEE8AB56-B1CC-4CB9-A5A7-3934467B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1C4"/>
    <w:pPr>
      <w:widowControl w:val="0"/>
      <w:jc w:val="both"/>
    </w:pPr>
  </w:style>
  <w:style w:type="paragraph" w:styleId="3">
    <w:name w:val="heading 3"/>
    <w:basedOn w:val="a"/>
    <w:link w:val="30"/>
    <w:uiPriority w:val="9"/>
    <w:qFormat/>
    <w:rsid w:val="00E62AD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62AD8"/>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62A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64A3B"/>
    <w:pPr>
      <w:tabs>
        <w:tab w:val="center" w:pos="4252"/>
        <w:tab w:val="right" w:pos="8504"/>
      </w:tabs>
      <w:snapToGrid w:val="0"/>
    </w:pPr>
  </w:style>
  <w:style w:type="character" w:customStyle="1" w:styleId="a4">
    <w:name w:val="ヘッダー (文字)"/>
    <w:basedOn w:val="a0"/>
    <w:link w:val="a3"/>
    <w:uiPriority w:val="99"/>
    <w:rsid w:val="00664A3B"/>
  </w:style>
  <w:style w:type="paragraph" w:styleId="a5">
    <w:name w:val="footer"/>
    <w:basedOn w:val="a"/>
    <w:link w:val="a6"/>
    <w:uiPriority w:val="99"/>
    <w:unhideWhenUsed/>
    <w:rsid w:val="00664A3B"/>
    <w:pPr>
      <w:tabs>
        <w:tab w:val="center" w:pos="4252"/>
        <w:tab w:val="right" w:pos="8504"/>
      </w:tabs>
      <w:snapToGrid w:val="0"/>
    </w:pPr>
  </w:style>
  <w:style w:type="character" w:customStyle="1" w:styleId="a6">
    <w:name w:val="フッター (文字)"/>
    <w:basedOn w:val="a0"/>
    <w:link w:val="a5"/>
    <w:uiPriority w:val="99"/>
    <w:rsid w:val="00664A3B"/>
  </w:style>
  <w:style w:type="paragraph" w:styleId="a7">
    <w:name w:val="List Paragraph"/>
    <w:basedOn w:val="a"/>
    <w:uiPriority w:val="34"/>
    <w:qFormat/>
    <w:rsid w:val="008445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86276">
      <w:bodyDiv w:val="1"/>
      <w:marLeft w:val="0"/>
      <w:marRight w:val="0"/>
      <w:marTop w:val="0"/>
      <w:marBottom w:val="0"/>
      <w:divBdr>
        <w:top w:val="none" w:sz="0" w:space="0" w:color="auto"/>
        <w:left w:val="none" w:sz="0" w:space="0" w:color="auto"/>
        <w:bottom w:val="none" w:sz="0" w:space="0" w:color="auto"/>
        <w:right w:val="none" w:sz="0" w:space="0" w:color="auto"/>
      </w:divBdr>
      <w:divsChild>
        <w:div w:id="1214200718">
          <w:marLeft w:val="0"/>
          <w:marRight w:val="0"/>
          <w:marTop w:val="0"/>
          <w:marBottom w:val="0"/>
          <w:divBdr>
            <w:top w:val="single" w:sz="6" w:space="6" w:color="DDDDDD"/>
            <w:left w:val="single" w:sz="6" w:space="3" w:color="DDDDDD"/>
            <w:bottom w:val="single" w:sz="6" w:space="6" w:color="DDDDDD"/>
            <w:right w:val="single" w:sz="6" w:space="3"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F2222</dc:creator>
  <cp:lastModifiedBy>宮崎 耕平</cp:lastModifiedBy>
  <cp:revision>3</cp:revision>
  <dcterms:created xsi:type="dcterms:W3CDTF">2020-11-17T07:05:00Z</dcterms:created>
  <dcterms:modified xsi:type="dcterms:W3CDTF">2020-11-17T08:04:00Z</dcterms:modified>
</cp:coreProperties>
</file>